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 mc:Ignorable="w14 wp14">
  <w:body>
    <w:p>
      <w:pPr>
        <w:rPr>
          <w:color w:val="595959"/>
          <w:sz w:val="20"/>
          <w:lang w:bidi="ar_SA" w:eastAsia="en_US" w:val="en_US"/>
        </w:rPr>
      </w:pPr>
      <w:r>
        <w:pict w14:anchorId="34775F24">
          <v:shapetype id="_x0000_t202" coordsize="21600,21600" o:spt="202" path="m0,0l0,21600,21600,21600,21600,0xe">
            <v:stroke joinstyle="miter"/>
            <v:path gradientshapeok="t" o:connecttype="rect"/>
          </v:shapetype>
          <v:shape xmlns:w10="urn:schemas-microsoft-com:office:word" id="Text Box 5" o:spid="_x0000_s1029" type="#_x0000_t202" style="position:absolute;margin-left:151.9pt;margin-top:268pt;width:378pt;height:143pt;z-index:251662336;visibility:visible;mso-wrap-edited:f;mso-position-horizontal-relative:page;mso-position-vertical-relative:page" wrapcoords="0 0 21600 0 21600 21600 0 21600 0 0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aMbgmvECAABUBgAADgAAAGRycy9lMm9Eb2MueG1srFXJbtswEL0X6D8QvCtaIlsLIge2ZRUF0gVI +gG0RFlEJVIlactp0X/vkLIdO2mBoK0OxJAcvpk3m25u912LdlQqJniG/SsPI8pLUTG+yfCXh8KJ MVKa8Iq0gtMMP1KFb2dv39wMfUoD0Yi2ohIBCFfp0Ge40bpPXVeVDe2IuhI95XBZC9kRDVu5cStJ BkDvWjfwvKk7CFn1UpRUKTjNx0s8s/h1TUv9qa4V1ajNMPim7SrtujarO7sh6UaSvmHlwQ3yF150 hHEweoLKiSZoK9kLqI6VUihR66tSdK6oa1ZSywHY+N4zNvcN6anlAsFR/SlM6v/Blh93nyViVYav MeKkgxQ90L1GC7FHExOdoVcpKN33oKb3cAxZtkxVfyfKrwpxsWwI39C5lGJoKKnAO9+8dM+ejjjK gKyHD6ICM2SrhQXa17IzoYNgIECHLD2eMmNcKeEwjCHXHlyVcBdFYQSyMUHS4+teKv2Oig4ZIcMS Mm/Rye5O6VH1qGKMcVGwtoVzkrb84gAwxxOwDU/NnfHCJvNH4iWreBWHThhMV07oVZUzL5ahMy38 aJJf58tl7v80dv0wbVhVUW7MHAvLD1+XuEOJjyVxKi0lWlYZOOOSkpv1spVoR6CwC/sdAnKm5l66 YeMFXJ5R8oPQWwSJU0zjyAnrcOIkkRc7np8skqkXJmFeXFK6Y5z+OyU0ZDiZBJOxmP7IzbPfS24k 7ZiG0dGyLsNQHfAZJZKaElzxysqasHaUz0Jh3P99KIr5PJhCFp08TiAUaxo4ceGFzmIeTvxlFBV+ HplQdCaufUtKOs6voiWbQ0DM1euS3JHyYpb5vmtTPaZ07CBbekdfbTHapjJ9NHaU3q/3h+4Fwqbh 1qJ6hC6TApoA+gVGMwiNkN8xGmDMZVh92xJJMWrfc+hUMxOPgjwK66NAeAlPM6wxGsWlHmfntpds 0wDyOAu4mEM318w22pMX4LnZwOiyHA5j1szG873VevoZzH4BAAD//wMAUEsDBBQABgAIAAAAIQAw dUP/3wAAAAwBAAAPAAAAZHJzL2Rvd25yZXYueG1sTI/NTsMwEITvSLyDtUjcqA0VSRriVAipNw6Q 9sBxE2/jgH+i2E3Tt8c9wXF2RrPfVNvFGjbTFAbvJDyuBDBynVeD6yUc9ruHAliI6BQa70jChQJs 69ubCkvlz+6T5ib2LJW4UKIEHeNYch46TRbDyo/kknf0k8WY5NRzNeE5lVvDn4TIuMXBpQ8aR3rT 1P00Jyvh+73N7UdTmEs37ka9xvkLD0cp7++W1xdgkZb4F4YrfkKHOjG1/uRUYEbCWmwSepSQ5Vka dU2I7DmdWgn5phDA64r/H1H/AgAA//8DAFBLAQItABQABgAIAAAAIQDkmcPA+wAAAOEBAAATAAAA AAAAAAAAAAAAAAAAAABbQ29udGVudF9UeXBlc10ueG1sUEsBAi0AFAAGAAgAAAAhACOyauHXAAAA lAEAAAsAAAAAAAAAAAAAAAAALAEAAF9yZWxzLy5yZWxzUEsBAi0AFAAGAAgAAAAhAGjG4JrxAgAA VAYAAA4AAAAAAAAAAAAAAAAALAIAAGRycy9lMm9Eb2MueG1sUEsBAi0AFAAGAAgAAAAhADB1Q//f AAAADAEAAA8AAAAAAAAAAAAAAAAASQUAAGRycy9kb3ducmV2LnhtbFBLBQYAAAAABAAEAPMAAABV BgAAAAA= " filled="f" stroked="f">
            <v:textbox style="mso-next-textbox:#Text Box 5" inset="0,0,0,0">
              <w:txbxContent>
                <w:p w14:paraId="26BB786A" w14:textId="77777777" w:rsidR="00931B6A" w:rsidRDefault="00931B6A" w:rsidP="00A06F43">
                  <w:pPr>
                    <w:pStyle w:val="Heading1"/>
                  </w:pPr>
                  <w:r>
                    <w:t xml:space="preserve">Caffeine is a natural compound that has diverse affects upon our bodies. Its sources include coffee beans, </w:t>
                  </w:r>
                  <w:proofErr w:type="gramStart"/>
                  <w:r>
                    <w:t>tea leaves</w:t>
                  </w:r>
                  <w:proofErr w:type="gramEnd"/>
                  <w:r>
                    <w:t>, the kola nut and cacao beans. This means it occurs naturally in coffee, tea, soft drinks and chocolate. Caffeine is a common additive to other foods and some medications such as pain relievers and dietary supplements. There is no difference between naturally occurring caffeine and synthetic caffeine; they both affect your body in the same way.</w:t>
                  </w:r>
                </w:p>
              </w:txbxContent>
            </v:textbox>
            <w10:wrap type="tight" anchorx="page" anchory="page"/>
          </v:shape>
        </w:pict>
      </w:r>
      <w:r>
        <w:pict w14:anchorId="6289BA6C">
          <v:shape xmlns:w10="urn:schemas-microsoft-com:office:word" id="_x0000_s1035" type="#_x0000_t202" style="position:absolute;margin-left:225pt;margin-top:10pt;width:240pt;height:61pt;z-index:251686912;mso-wrap-edited:f;mso-position-horizontal-relative:page;mso-position-vertical-relative:page" wrapcoords="0 0 21600 0 21600 21600 0 21600 0 0" fillcolor="#e2a293 [1300]" stroked="f">
            <v:fill o:detectmouseclick="t"/>
            <v:textbox style="mso-next-textbox:#_x0000_s1035" inset=",7.2pt,,7.2pt">
              <w:txbxContent>
                <w:p w14:paraId="10305809" w14:textId="77777777" w:rsidR="00931B6A" w:rsidRPr="00C16212" w:rsidRDefault="00931B6A" w:rsidP="00B839B4">
                  <w:pPr>
                    <w:spacing w:before="240"/>
                    <w:jc w:val="center"/>
                    <w:rPr>
                      <w:rFonts w:ascii="Athelas Regular" w:hAnsi="Athelas Regular"/>
                      <w:b/>
                      <w:i/>
                      <w:color w:val="auto"/>
                      <w:sz w:val="56"/>
                    </w:rPr>
                  </w:pPr>
                  <w:r w:rsidRPr="00C16212">
                    <w:rPr>
                      <w:rFonts w:ascii="Athelas Regular" w:hAnsi="Athelas Regular"/>
                      <w:b/>
                      <w:i/>
                      <w:color w:val="auto"/>
                      <w:sz w:val="56"/>
                    </w:rPr>
                    <w:t>Caffeine</w:t>
                  </w:r>
                </w:p>
              </w:txbxContent>
            </v:textbox>
            <w10:wrap type="tight" anchorx="page" anchory="page"/>
          </v:shape>
        </w:pict>
      </w:r>
      <w:r>
        <w:drawing>
          <wp:anchor xmlns:a="http://schemas.openxmlformats.org/drawingml/2006/main" allowOverlap="1" behindDoc="0" distB="0" distL="118745" distR="118745" distT="0" layoutInCell="1" locked="0" relativeHeight="251659264" simplePos="0">
            <wp:simplePos xmlns:c="http://schemas.openxmlformats.org/drawingml/2006/chart" xmlns:pic="http://schemas.openxmlformats.org/drawingml/2006/picture" xmlns:dgm="http://schemas.openxmlformats.org/drawingml/2006/diagram" xmlns:p="http://schemas.openxmlformats.org/presentationml/2006/main" x="0" y="0"/>
            <wp:positionH relativeFrom="page">
              <wp:posOffset>1968500</wp:posOffset>
            </wp:positionH>
            <wp:positionV relativeFrom="page">
              <wp:posOffset>952500</wp:posOffset>
            </wp:positionV>
            <wp:extent xmlns:c="http://schemas.openxmlformats.org/drawingml/2006/chart" xmlns:pic="http://schemas.openxmlformats.org/drawingml/2006/picture" xmlns:dgm="http://schemas.openxmlformats.org/drawingml/2006/diagram" xmlns:p="http://schemas.openxmlformats.org/presentationml/2006/main" cx="4572000" cy="2414905"/>
            <wp:effectExtent b="0" l="25400" r="0" t="0"/>
            <wp:wrapTight wrapText="bothSides">
              <wp:wrapPolygon edited="0">
                <wp:start xmlns:c="http://schemas.openxmlformats.org/drawingml/2006/chart" xmlns:pic="http://schemas.openxmlformats.org/drawingml/2006/picture" xmlns:dgm="http://schemas.openxmlformats.org/drawingml/2006/diagram" xmlns:p="http://schemas.openxmlformats.org/presentationml/2006/main" x="-120" y="0"/>
                <wp:lineTo xmlns:c="http://schemas.openxmlformats.org/drawingml/2006/chart" xmlns:pic="http://schemas.openxmlformats.org/drawingml/2006/picture" xmlns:dgm="http://schemas.openxmlformats.org/drawingml/2006/diagram" xmlns:p="http://schemas.openxmlformats.org/presentationml/2006/main" x="-120" y="21356"/>
                <wp:lineTo xmlns:c="http://schemas.openxmlformats.org/drawingml/2006/chart" xmlns:pic="http://schemas.openxmlformats.org/drawingml/2006/picture" xmlns:dgm="http://schemas.openxmlformats.org/drawingml/2006/diagram" xmlns:p="http://schemas.openxmlformats.org/presentationml/2006/main" x="21600" y="21356"/>
                <wp:lineTo xmlns:c="http://schemas.openxmlformats.org/drawingml/2006/chart" xmlns:pic="http://schemas.openxmlformats.org/drawingml/2006/picture" xmlns:dgm="http://schemas.openxmlformats.org/drawingml/2006/diagram" xmlns:p="http://schemas.openxmlformats.org/presentationml/2006/main" x="21600" y="0"/>
                <wp:lineTo xmlns:c="http://schemas.openxmlformats.org/drawingml/2006/chart" xmlns:pic="http://schemas.openxmlformats.org/drawingml/2006/picture" xmlns:dgm="http://schemas.openxmlformats.org/drawingml/2006/diagram" xmlns:p="http://schemas.openxmlformats.org/presentationml/2006/main" x="-120" y="0"/>
              </wp:wrapPolygon>
            </wp:wrapTight>
            <wp:docPr xmlns:c="http://schemas.openxmlformats.org/drawingml/2006/chart" xmlns:pic="http://schemas.openxmlformats.org/drawingml/2006/picture" xmlns:dgm="http://schemas.openxmlformats.org/drawingml/2006/diagram" xmlns:p="http://schemas.openxmlformats.org/presentationml/2006/main" id="1" name="Placeholder"/>
            <wp:cNvGraphicFramePr xmlns:c="http://schemas.openxmlformats.org/drawingml/2006/chart" xmlns:pic="http://schemas.openxmlformats.org/drawingml/2006/picture" xmlns:dgm="http://schemas.openxmlformats.org/drawingml/2006/diagram" xmlns:p="http://schemas.openxmlformats.org/presentationml/2006/main">
              <a:graphicFrameLocks noChangeAspect="1"/>
            </wp:cNvGraphicFramePr>
            <a:graphic xmlns:c="http://schemas.openxmlformats.org/drawingml/2006/chart" xmlns:pic="http://schemas.openxmlformats.org/drawingml/2006/picture" xmlns:dgm="http://schemas.openxmlformats.org/drawingml/2006/diagram" xmlns:p="http://schemas.openxmlformats.org/presentationml/2006/main">
              <a:graphicData uri="http://schemas.openxmlformats.org/drawingml/2006/picture">
                <pic:pic>
                  <pic:nvPicPr>
                    <pic:cNvPr id="0" name="placeholder-base---neutral.png"/>
                    <pic:cNvPicPr/>
                  </pic:nvPicPr>
                  <pic:blipFill>
                    <a:blip r:embed="rId1"/>
                    <a:srcRect b="10800" t="720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41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13F48E9">
          <v:shape xmlns:mv="urn:schemas-microsoft-com:mac:vml" xmlns:w10="urn:schemas-microsoft-com:office:word" id="Text Box 24" o:spid="_x0000_s1026" type="#_x0000_t202" style="position:absolute;margin-left:228.8pt;margin-top:411pt;width:157.2pt;height:333pt;z-index:251683840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/NNRl84CAAAZBgAADgAAAGRycy9lMm9Eb2MueG1srFTJbtswEL0X6D8QvDtaoCwWIgeKAxcFgjRo UuRMU6QtlFtJ2pZb9N87pCTHSXtoil6o0ezzZrm86qRAW2Zdq1WFs5MUI6aoblq1qvCXx8XkAiPn iWqI0IpVeM8cvpq9f3e5MyXL9VqLhlkETpQrd6bCa+9NmSSOrpkk7kQbpkDItZXEw69dJY0lO/Au RZKn6Vmy07YxVlPmHHBveiGeRf+cM+o/ce6YR6LCkJuPr43vMrzJ7JKUK0vMuqVDGuQfspCkVRD0 4OqGeII2tv3NlWyp1U5zf0K1TDTnLWWxBqgmS19V87AmhsVaABxnDjC5/+eW3m3vLWqbCucFRopI 6NEj6zy61h0CFuCzM64EtQcDir4DPvR55DtghrI7bmX4QkEI5ID0/oBu8EaD0XR6VhQgoiAr8nya pRH/5NncWOc/MC1RICpsoX0RVbK9dR5SAdVRJURTetEKEVso1AsGKPYcFmegtyYlpAJk0AxJxf78 mJ+e5/X56XRyVp9mkyJLLyZ1neaTm0Wd1mmxmE+L65+QhSRZUe5gUgzMWYAIkFgIshq6EsR/1xZJ 6IshzrIkjg/aEhjSCC2kDwFivWPKSWhDD3ek/F6wUIhQnxmHBkbUAyOuDpsL2/sjlDLlR69RO2hx AO4thoN+hC5C+hbjvglgESNr5Q/GslXaxha/Srv5OqbMe30A46juQPpu2Q3judTNHqbT6n6/naGL Fiboljh/TywsNEwdHCn/CR4u9K7CeqAwWmv7/U/8oA8NBSlGoe0Vdt82xDKMxEcFGzjN4jD7+FPA EEEMeyxZHkvURs51bC+C7CIZ9L0YSW61fIJbVoeoICKKQuwK+5Gc+/5swS2krK6jEtwQQ/ytejA0 TE6AN+zHY/dErBmWyMME3enxlJDy1S71usFS6XrjNW/jogWAe1QH4OH+xHkcbmU4cMf/Uev5os9+ AQAA//8DAFBLAwQUAAYACAAAACEAyJW3buAAAAAMAQAADwAAAGRycy9kb3ducmV2LnhtbEyPwU7D MAyG70i8Q2QkbiylGmvUNZ0AAaehwcZhx6zx2orGqZpsLW+Pd4KbLX/6/f3FanKdOOMQWk8a7mcJ CKTK25ZqDV+71zsFIkRD1nSeUMMPBliV11eFya0f6RPP21gLDqGQGw1NjH0uZagadCbMfI/Et6Mf nIm8DrW0gxk53HUyTZKFdKYl/tCYHp8brL63J6cB15PbvavsJW6ejm/JXn2Ma1trfXszPS5BRJzi HwwXfVaHkp0O/kQ2iE7D/CFbMKpBpSmXYiLLLsOB0blSCciykP9LlL8AAAD//wMAUEsBAi0AFAAG AAgAAAAhAOSZw8D7AAAA4QEAABMAAAAAAAAAAAAAAAAAAAAAAFtDb250ZW50X1R5cGVzXS54bWxQ SwECLQAUAAYACAAAACEAI7Jq4dcAAACUAQAACwAAAAAAAAAAAAAAAAAsAQAAX3JlbHMvLnJlbHNQ SwECLQAUAAYACAAAACEA/NNRl84CAAAZBgAADgAAAAAAAAAAAAAAAAAsAgAAZHJzL2Uyb0RvYy54 bWxQSwECLQAUAAYACAAAACEAyJW3buAAAAAMAQAADwAAAAAAAAAAAAAAAAAmBQAAZHJzL2Rvd25y ZXYueG1sUEsFBgAAAAAEAAQA8wAAADMGAAAAAA== " mv:complextextbox="1" filled="f" stroked="f">
            <v:textbox style="mso-next-textbox:#Text Box 24">
              <w:txbxContent>
                <w:p w14:paraId="13D951FC" w14:textId="77777777" w:rsidR="00931B6A" w:rsidRDefault="00931B6A" w:rsidP="00B839B4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Benefits</w:t>
                  </w:r>
                </w:p>
                <w:p w14:paraId="132AF931" w14:textId="77777777" w:rsidR="00931B6A" w:rsidRDefault="00931B6A" w:rsidP="00B839B4">
                  <w:pPr>
                    <w:jc w:val="both"/>
                  </w:pPr>
                  <w:r w:rsidRPr="00B45F7E">
                    <w:t>Caffeine’s most obvious benefit is increased alertness, improved mood and reaction times.</w:t>
                  </w:r>
                </w:p>
                <w:p w14:paraId="72A69750" w14:textId="77777777" w:rsidR="00931B6A" w:rsidRPr="00F06FE0" w:rsidRDefault="00931B6A" w:rsidP="00B839B4">
                  <w:pPr>
                    <w:jc w:val="both"/>
                  </w:pPr>
                  <w:r>
                    <w:t>Studies have shown that for a number of reasons, including increased metabolic rates and energy expenditure, caffeine helps control body weight/obesity. Hence, caffeine can play an important role in controlling and/or preventing Type 2 diabetes, insulin resistance, high blood glucose, etc.</w:t>
                  </w:r>
                </w:p>
                <w:p w14:paraId="7C07DDB2" w14:textId="77777777" w:rsidR="00931B6A" w:rsidRPr="00462592" w:rsidRDefault="00931B6A" w:rsidP="00B839B4">
                  <w:pPr>
                    <w:jc w:val="both"/>
                    <w:rPr>
                      <w:u w:val="single"/>
                    </w:rPr>
                  </w:pPr>
                  <w:r w:rsidRPr="00B45F7E">
                    <w:t>Some research indicates that it can decrease the effects of Parkinson’s disease.</w:t>
                  </w:r>
                  <w:r>
                    <w:t xml:space="preserve"> Parkinson’s </w:t>
                  </w:r>
                  <w:r w:rsidRPr="00B45F7E">
                    <w:t xml:space="preserve">is a </w:t>
                  </w:r>
                  <w:proofErr w:type="spellStart"/>
                  <w:r w:rsidRPr="00B45F7E">
                    <w:t>neuro</w:t>
                  </w:r>
                  <w:proofErr w:type="spellEnd"/>
                  <w:r>
                    <w:t>-</w:t>
                  </w:r>
                  <w:r w:rsidRPr="00B45F7E">
                    <w:t>degenerative disease that results in tremors</w:t>
                  </w:r>
                  <w:r>
                    <w:t xml:space="preserve"> and the loss of motor function</w:t>
                  </w:r>
                  <w:r w:rsidRPr="00B45F7E">
                    <w:t>.</w:t>
                  </w:r>
                </w:p>
                <w:p w14:paraId="54D0E109" w14:textId="77777777" w:rsidR="00931B6A" w:rsidRPr="00462592" w:rsidRDefault="00931B6A" w:rsidP="00B839B4">
                  <w:pPr>
                    <w:jc w:val="both"/>
                    <w:rPr>
                      <w:u w:val="single"/>
                    </w:rPr>
                  </w:pPr>
                  <w:r>
                    <w:t>Recent studies have shown that caffeine has anti-inflammatory effects.</w:t>
                  </w:r>
                </w:p>
              </w:txbxContent>
            </v:textbox>
            <w10:wrap type="through" anchorx="page" anchory="page"/>
          </v:shape>
        </w:pict>
      </w:r>
      <w:r>
        <w:pict w14:anchorId="23DD0BA8">
          <v:shape xmlns:mv="urn:schemas-microsoft-com:mac:vml" xmlns:w10="urn:schemas-microsoft-com:office:word" id="Text Box 25" o:spid="_x0000_s1027" type="#_x0000_t202" style="position:absolute;margin-left:409.8pt;margin-top:411pt;width:157.2pt;height:333pt;z-index:251685888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BJaV1dMCAAAgBgAADgAAAGRycy9lMm9Eb2MueG1srFRLb9swDL4P2H8QdE9tB07bGHUKN0WGAUVX rB16VmQpMWY9JimJs2H/fRQdp4/tsA67yDJfIj9+5MVlp1qyFc43Rpc0O0kpEZqbutGrkn55WIzO KfGB6Zq1RouS7oWnl7P37y52thBjszZtLRyBINoXO1vSdQi2SBLP10Ixf2Ks0KCUxikW4Netktqx HURXbTJO09NkZ1xtneHCe5Be90o6w/hSCh4+SelFIG1JIbeAp8NzGc9kdsGKlWN23fBDGuwfslCs 0fDoMdQ1C4xsXPNbKNVwZ7yR4YQblRgpGy6wBqgmS19Vc79mVmAtAI63R5j8/wvLb7d3jjR1SccT SjRT0KMH0QVyZToCIsBnZ30BZvcWDEMHcujzIPcgjGV30qn4hYII6AHp/RHdGI1Hp+n0NM9BxUGX j8fTLEX8kyd363z4IIwi8VJSB+1DVNn2xgdIBUwHk/iaNoumbbGFrX4hAMNeIpADvTcrIBW4RsuY FPbnx3xyNq7OJtPRaTXJRnmWno+qKh2PrhdVWqX5Yj7Nr35CFoplebEDpljgWYQIkFi0bHXoSlT/ XVsU4y9InGUJ0odsGZAUoYX04QGsd0g5iW3o4cZb2LciFtLqz0JCAxH1KMDREfPW9fEY50KHISpa RysJwL3F8WCP0CGkb3HumwAe+LLR4eisGm0ctvhV2vXXIWXZ2wMYz+qO19AtO2TukY1LU++BpM70 Y+4tXzRApBvmwx1zMNdAPthV4RMcsjW7kprDjZK1cd//JI/20FfQUhK7X1L/bcOcoKT9qGEQpxly OuBPDlyCN9xzzfK5Rm/U3GCXCWSH12gf2uEqnVGPsNKq+CqomObwdknDcJ2HfnvBSuSiqtAIVoll 4UbfWx4JFFGOY/LQPTJnD7MUgEi3ZtgorHg1Ur1t9NSm2gQjG5y3iHOP6gF/WENIy8PKjHvu+T9a PS322S8AAAD//wMAUEsDBBQABgAIAAAAIQAjNQkc4AAAAA0BAAAPAAAAZHJzL2Rvd25yZXYueG1s TI/BTsMwEETvSPyDtUjcqJNQFRPiVICAUxHQ9tCjG2+TiHgdxW4T/p7tCW4z2tHsm2I5uU6ccAit Jw3pLAGBVHnbUq1hu3m9USBCNGRN5wk1/GCAZXl5UZjc+pG+8LSOteASCrnR0MTY51KGqkFnwsz3 SHw7+MGZyHaopR3MyOWuk1mSLKQzLfGHxvT43GD1vT46Dbia3OZd3b3Ej6fDW7JTn+PK1lpfX02P DyAiTvEvDGd8RoeSmfb+SDaIToNK7xccZZFlPOqcSG/nrPas5kolIMtC/l9R/gIAAP//AwBQSwEC LQAUAAYACAAAACEA5JnDwPsAAADhAQAAEwAAAAAAAAAAAAAAAAAAAAAAW0NvbnRlbnRfVHlwZXNd LnhtbFBLAQItABQABgAIAAAAIQAjsmrh1wAAAJQBAAALAAAAAAAAAAAAAAAAACwBAABfcmVscy8u cmVsc1BLAQItABQABgAIAAAAIQAElpXV0wIAACAGAAAOAAAAAAAAAAAAAAAAACwCAABkcnMvZTJv RG9jLnhtbFBLAQItABQABgAIAAAAIQAjNQkc4AAAAA0BAAAPAAAAAAAAAAAAAAAAACsFAABkcnMv ZG93bnJldi54bWxQSwUGAAAAAAQABADzAAAAOAYAAAAA " mv:complextextbox="1" filled="f" stroked="f">
            <v:textbox style="mso-next-textbox:#Text Box 25">
              <w:txbxContent>
                <w:p w14:paraId="39986072" w14:textId="77777777" w:rsidR="00931B6A" w:rsidRDefault="00931B6A" w:rsidP="00B839B4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Risks</w:t>
                  </w:r>
                </w:p>
                <w:p w14:paraId="25B8CA76" w14:textId="77777777" w:rsidR="00931B6A" w:rsidRDefault="00931B6A" w:rsidP="00B839B4">
                  <w:r>
                    <w:t>Although the FDA generally regards caffeine as safe there are side effects associated with its use/abuse.</w:t>
                  </w:r>
                </w:p>
                <w:p w14:paraId="3D3BCA90" w14:textId="77777777" w:rsidR="00931B6A" w:rsidRDefault="00931B6A" w:rsidP="00B839B4">
                  <w:r>
                    <w:t>Caffeine can disrupt sleep cycles and the body’s normal restorative and reparative systems.</w:t>
                  </w:r>
                </w:p>
                <w:p w14:paraId="39D6CAE8" w14:textId="77777777" w:rsidR="00931B6A" w:rsidRDefault="00931B6A" w:rsidP="00B839B4">
                  <w:r>
                    <w:t>Excessive caffeine consumption can lead to symptoms of ‘</w:t>
                  </w:r>
                  <w:proofErr w:type="spellStart"/>
                  <w:r>
                    <w:t>intoxi-cation</w:t>
                  </w:r>
                  <w:proofErr w:type="spellEnd"/>
                  <w:r>
                    <w:t xml:space="preserve">’ that include tachycardia, anxiety, restlessness and tremors. </w:t>
                  </w:r>
                </w:p>
                <w:p w14:paraId="003302E6" w14:textId="77777777" w:rsidR="00931B6A" w:rsidRDefault="00931B6A" w:rsidP="00B839B4">
                  <w:r>
                    <w:t>Those who regularly consume caffeine can experience with-</w:t>
                  </w:r>
                  <w:proofErr w:type="spellStart"/>
                  <w:r>
                    <w:t>drawal</w:t>
                  </w:r>
                  <w:proofErr w:type="spellEnd"/>
                  <w:r>
                    <w:t xml:space="preserve"> symptoms when they stop taking it including anxiety, cravings, depression, constipation, diarrhea and dizziness.</w:t>
                  </w:r>
                </w:p>
                <w:p w14:paraId="4002D226" w14:textId="77777777" w:rsidR="00931B6A" w:rsidRPr="00C71AA3" w:rsidRDefault="00931B6A" w:rsidP="00B839B4">
                  <w:r>
                    <w:t xml:space="preserve">Those with heart </w:t>
                  </w:r>
                  <w:proofErr w:type="gramStart"/>
                  <w:r>
                    <w:t>disease  should</w:t>
                  </w:r>
                  <w:proofErr w:type="gramEnd"/>
                  <w:r>
                    <w:t xml:space="preserve"> limit their caffeine intake as it can exacerbate high blood pressure and hypertension.</w:t>
                  </w:r>
                </w:p>
              </w:txbxContent>
            </v:textbox>
            <w10:wrap type="through" anchorx="page" anchory="page"/>
          </v:shape>
        </w:pict>
      </w:r>
      <w:r>
        <w:pict w14:anchorId="7214ECFE">
          <v:shape xmlns:mv="urn:schemas-microsoft-com:mac:vml" xmlns:w10="urn:schemas-microsoft-com:office:word" id="Text Box 23" o:spid="_x0000_s1028" type="#_x0000_t202" style="position:absolute;margin-left:46.8pt;margin-top:411pt;width:157.2pt;height:333pt;z-index:251681792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Jfn5j9MCAAAgBgAADgAAAGRycy9lMm9Eb2MueG1srFTJbtswEL0X6D8QvDuSXGWxEDlQHLgoECRB nSJnmiJtodxK0rbcov/eISU5TtpDU/RCUbNx5s2bubxqpUBbZl2jVYmzkxQjpqiuG7Uq8ZfH+egC I+eJqonQipV4zxy+mr5/d7kzBRvrtRY1swiCKFfsTInX3psiSRxdM0nciTZMgZJrK4mHX7tKakt2 EF2KZJymZ8lO29pYTZlzIL3plHga43POqL/n3DGPRIkhNx9PG89lOJPpJSlWlph1Q/s0yD9kIUmj 4NFDqBviCdrY5rdQsqFWO839CdUy0Zw3lMUaoJosfVXNYk0Mi7UAOM4cYHL/Lyy92z5Y1NQlHn/A SBEJPXpkrUfXukUgAnx2xhVgtjBg6FuQQ58HuQNhKLvlVoYvFIRAD0jvD+iGaDQ4TSZneQ4qCrp8 PJ5kacQ/eXY31vmPTEsULiW20L6IKtneOg+pgOlgEl5Tet4IEVso1AsBGHYSFjnQeZMCUoFrsAxJ xf78mJ2ej6vz08norDrNRnmWXoyqKh2PbuZVWqX5fDbJr39CFpJkebEDphjgWYAIkJgLsuq7EtR/ 1xZJ6AsSZ1kS6YO2BEgaoYX04YFY75ByEtrQwR1vfi9YKESoz4xDAyPqQRBHh82E7eIRSpnyQ9Ro Haw4APcWx94+QhchfYtz1wTwiC9r5Q/OslHaxha/Srv+OqTMO3sA46jucPXtsu2YO7Bxqes9kNTq bsydofMGiHRLnH8gFuYayAe7yt/DwYXelVj3N4zW2n7/kzzYQ19Bi1Hofondtw2xDCPxScEgTrLI aR9/cuASvGGPNctjjdrImY5dRpBdvAZ7L4Yrt1o+wUqrwqugIorC2yX2w3Xmu+0FK5GyqopGsEoM 8bdqYWggUEA5jMlj+0Ss6WfJA5Hu9LBRSPFqpDrb4Kl0tfGaN3HeAs4dqj3+sIYiLfuVGfbc8X+0 el7s018AAAD//wMAUEsDBBQABgAIAAAAIQBAn/6M3gAAAAsBAAAPAAAAZHJzL2Rvd25yZXYueG1s TI/BTsMwEETvSPyDtUjcqE2oiglxKkDAqQhoe+jRjbdJRLyOYrcJf89ygtuM9ml2plhOvhMnHGIb yMD1TIFAqoJrqTaw3bxcaRAxWXK2C4QGvjHCsjw/K2zuwkifeFqnWnAIxdwaaFLqcylj1aC3cRZ6 JL4dwuBtYjvU0g125HDfyUyphfS2Jf7Q2B6fGqy+1kdvAFeT37zp2+f0/nh4VTv9Ma5cbczlxfRw DyLhlP5g+K3P1aHkTvtwJBdFZ+DuZsGkAZ1lvImBudIs9kzONStZFvL/hvIHAAD//wMAUEsBAi0A FAAGAAgAAAAhAOSZw8D7AAAA4QEAABMAAAAAAAAAAAAAAAAAAAAAAFtDb250ZW50X1R5cGVzXS54 bWxQSwECLQAUAAYACAAAACEAI7Jq4dcAAACUAQAACwAAAAAAAAAAAAAAAAAsAQAAX3JlbHMvLnJl bHNQSwECLQAUAAYACAAAACEAJfn5j9MCAAAgBgAADgAAAAAAAAAAAAAAAAAsAgAAZHJzL2Uyb0Rv Yy54bWxQSwECLQAUAAYACAAAACEAQJ/+jN4AAAALAQAADwAAAAAAAAAAAAAAAAArBQAAZHJzL2Rv d25yZXYueG1sUEsFBgAAAAAEAAQA8wAAADYGAAAAAA== " mv:complextextbox="1" filled="f" stroked="f">
            <v:textbox style="mso-next-textbox:#Text Box 23">
              <w:txbxContent>
                <w:p w14:paraId="36D91A18" w14:textId="77777777" w:rsidR="00931B6A" w:rsidRDefault="00931B6A" w:rsidP="00B839B4">
                  <w:pPr>
                    <w:jc w:val="center"/>
                    <w:rPr>
                      <w:b/>
                      <w:u w:val="single"/>
                    </w:rPr>
                  </w:pPr>
                  <w:r w:rsidRPr="008A0039">
                    <w:rPr>
                      <w:b/>
                      <w:u w:val="single"/>
                    </w:rPr>
                    <w:t>Caffeine’s Effects</w:t>
                  </w:r>
                </w:p>
                <w:p w14:paraId="41CAE8D4" w14:textId="77777777" w:rsidR="00931B6A" w:rsidRDefault="00931B6A" w:rsidP="00B839B4">
                  <w:pPr>
                    <w:jc w:val="both"/>
                  </w:pPr>
                  <w:r>
                    <w:t>Although caffeine affects a number of different organs</w:t>
                  </w:r>
                  <w:proofErr w:type="gramStart"/>
                  <w:r>
                    <w:t>;</w:t>
                  </w:r>
                  <w:proofErr w:type="gramEnd"/>
                  <w:r>
                    <w:t xml:space="preserve"> its primary target is the central nervous system (CNS). One thing to keep in mind is that although caffeine serves as a CNS stimulant, it is </w:t>
                  </w:r>
                  <w:r>
                    <w:rPr>
                      <w:u w:val="single"/>
                    </w:rPr>
                    <w:t>not</w:t>
                  </w:r>
                  <w:r>
                    <w:t xml:space="preserve"> a </w:t>
                  </w:r>
                  <w:r w:rsidRPr="005D0B00">
                    <w:rPr>
                      <w:u w:val="single"/>
                    </w:rPr>
                    <w:t>source</w:t>
                  </w:r>
                  <w:r>
                    <w:t xml:space="preserve"> of energy.</w:t>
                  </w:r>
                </w:p>
                <w:p w14:paraId="2052EC40" w14:textId="77777777" w:rsidR="00931B6A" w:rsidRDefault="00931B6A" w:rsidP="00B839B4">
                  <w:pPr>
                    <w:jc w:val="both"/>
                  </w:pPr>
                  <w:r>
                    <w:t>Caffeine has a molecular structure very similar to that of adenosine. Adenosine is neurotransmitter involved in the body’s sleep cycle: throughout the day, levels of adenosine increase and it occupies adenosine receptor sites throughout the brain making you feel tired and sleepy.</w:t>
                  </w:r>
                </w:p>
                <w:p w14:paraId="283E27EC" w14:textId="77777777" w:rsidR="00931B6A" w:rsidRPr="003D24C1" w:rsidRDefault="00931B6A" w:rsidP="00B839B4">
                  <w:pPr>
                    <w:jc w:val="both"/>
                  </w:pPr>
                  <w:r>
                    <w:t xml:space="preserve">Caffeine occupies those adenosine receptor sites, but does not trigger them. Due to this </w:t>
                  </w:r>
                  <w:r>
                    <w:rPr>
                      <w:u w:val="single"/>
                    </w:rPr>
                    <w:t>inhibitory effect</w:t>
                  </w:r>
                  <w:r>
                    <w:t>, you tend to feel more alert and awake even as the day progresses. This also explains why caffeine can disrupt your normal sleep cycle.</w:t>
                  </w:r>
                </w:p>
              </w:txbxContent>
            </v:textbox>
            <w10:wrap type="through" anchorx="page" anchory="page"/>
          </v:shape>
        </w:pict>
      </w:r>
      <w:r>
        <w:pict w14:anchorId="27D4B89F">
          <v:rect xmlns:w10="urn:schemas-microsoft-com:office:word" id="Rectangle 2" o:spid="_x0000_s1031" style="position:absolute;margin-left:46.8pt;margin-top:17pt;width:57.2pt;height:365pt;z-index:251660288;visibility:visible;mso-wrap-edited:f;mso-position-horizontal-relative:page;mso-position-vertical-relative:page" wrapcoords="-284 0 -284 21511 21600 21511 21600 0 -284 0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18ClIAICAAD1AwAADgAAAGRycy9lMm9Eb2MueG1srFPBjtMwEL0j8Q+W7zRpacsSNV2tuipCWmDF wgdMHSexcDxm7DZdvp6J05YCN8TF8tjjN++9Ga9uj50VB03BoCvldJJLoZ3CyrimlF+/bF/dSBEi uAosOl3KZx3k7frli1XvCz3DFm2lSTCIC0XvS9nG6IssC6rVHYQJeu34skbqIHJITVYR9Ize2WyW 58usR6o8odIh8On9eCnXCb+utYqf6jroKGwpmVtMK6V1N6zZegVFQ+Bbo0404B9YdGAcF71A3UME sSfzF1RnFGHAOk4UdhnWtVE6aWA10/wPNU8teJ20sDnBX2wK/w9WfTw8kjAV924phYOOe/SZXQPX WC1mgz+9DwWnPflHGhQG/4DqWxAONy1n6Tsi7FsNFbOaDvnZbw+GIPBTses/YMXosI+YrDrW1A2A bII4po48Xzqij1EoPnwzW87n3DfFV/Pl68UiTy3LoDi/9hTiO42dGDalJOae0OHwEOLABopzSmKP 1lRbY20KqNltLIkD8HTcbPN8sUgCWOR1mnVDssPh2Yg4nug0X2MZKJjyqeJZ8mjdDqtnlk84zh7/ Fd60SD+k6HnuShm+74G0FPa9YwvfTpPgeB3QdbC7DsAphipllGLcbuI43HtPpmm50jS54fCOba9N cmTgN7I6NYtnKxl1+gfD8F7HKevXb13/BAAA//8DAFBLAwQUAAYACAAAACEAXJWW4+AAAAAJAQAA DwAAAGRycy9kb3ducmV2LnhtbEyPT0vDQBDF74LfYRnBm93YSowxkyKCIAi1rS29bpMxG9w/Mbtp 0356x5PeZuY93vxeMR+tEQfqQ+sdwu0kAUGu8nXrGoTNx8tNBiJE5WplvCOEEwWYl5cXhcprf3Qr OqxjIzjEhVwh6Bi7XMpQabIqTHxHjrVP31sVee0bWffqyOHWyGmSpNKq1vEHrTp61lR9rQeL8DaY xev2O1uch13cLd9JZ6fzCvH6anx6BBFpjH9m+MVndCiZae8HVwdhEB5mKTsRZndcifVpkvGwR7hP +SLLQv5vUP4AAAD//wMAUEsBAi0AFAAGAAgAAAAhAOSZw8D7AAAA4QEAABMAAAAAAAAAAAAAAAAA AAAAAFtDb250ZW50X1R5cGVzXS54bWxQSwECLQAUAAYACAAAACEAI7Jq4dcAAACUAQAACwAAAAAA AAAAAAAAAAAsAQAAX3JlbHMvLnJlbHNQSwECLQAUAAYACAAAACEA18ClIAICAAD1AwAADgAAAAAA AAAAAAAAAAAsAgAAZHJzL2Uyb0RvYy54bWxQSwECLQAUAAYACAAAACEAXJWW4+AAAAAJAQAADwAA AAAAAAAAAAAAAABaBAAAZHJzL2Rvd25yZXYueG1sUEsFBgAAAAAEAAQA8wAAAGcFAAAAAA== " fillcolor="#8f0055" stroked="f">
            <v:textbox inset=",7.2pt,,7.2pt"/>
            <w10:wrap type="tight" anchorx="page" anchory="page"/>
          </v:rect>
        </w:pict>
      </w:r>
      <w:r>
        <w:rPr>
          <w:rFonts w:ascii="Times New Roman" w:hAnsi="Times New Roman"/>
          <w:vanish w:val="0"/>
          <w:color w:val="595959"/>
          <w:sz w:val="20"/>
          <w:lang w:val="en-US"/>
        </w:rPr>
        <w:t>ok</w:t>
      </w:r>
    </w:p>
    <w:p>
      <w:pPr>
        <w:rPr>
          <w:color w:val="595959"/>
          <w:sz w:val="20"/>
          <w:lang w:bidi="ar_SA" w:eastAsia="en_US" w:val="en_US"/>
        </w:rPr>
      </w:pPr>
      <w:r>
        <w:br w:type="page"/>
      </w:r>
    </w:p>
    <w:tbl>
      <w:tblPr>
        <w:tblStyle w:val="TableGrid"/>
        <w:tblW w:type="dxa" w:w="8337"/>
        <w:tblCellMar>
          <w:left w:type="dxa" w:w="115"/>
          <w:right w:type="dxa" w:w="115"/>
        </w:tblCellMar>
        <w:tblLook w:val="04A0"/>
      </w:tblPr>
      <w:tblGrid>
        <w:gridCol w:w="2091"/>
        <w:gridCol w:w="3119"/>
        <w:gridCol w:w="3127"/>
      </w:tblGrid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b w:val="1"/>
                <w:color w:val="595959"/>
                <w:sz w:val="20"/>
                <w:lang w:bidi="ar_SA" w:eastAsia="en_US" w:val="en_US"/>
              </w:rPr>
            </w:pPr>
            <w:r>
              <w:rPr>
                <w:b w:val="1"/>
              </w:rPr>
              <w:t>Source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b w:val="1"/>
                <w:color w:val="595959"/>
                <w:sz w:val="20"/>
                <w:lang w:bidi="ar_SA" w:eastAsia="en_US" w:val="en_US"/>
              </w:rPr>
            </w:pPr>
            <w:r>
              <w:rPr>
                <w:b w:val="1"/>
              </w:rPr>
              <w:t>Serving Size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b w:val="1"/>
                <w:color w:val="595959"/>
                <w:sz w:val="20"/>
                <w:lang w:bidi="ar_SA" w:eastAsia="en_US" w:val="en_US"/>
              </w:rPr>
            </w:pPr>
            <w:r>
              <w:rPr>
                <w:b w:val="1"/>
              </w:rPr>
              <w:t>Amount of Caffeine (mg)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Coffee</w:t>
            </w:r>
            <w:r>
              <w:rPr>
                <w:vertAlign w:val="superscript"/>
              </w:rPr>
              <w:t>1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Small cup (5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60-150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Coffee (decaf)</w:t>
            </w:r>
            <w:r>
              <w:rPr>
                <w:vertAlign w:val="superscript"/>
              </w:rPr>
              <w:t>1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Small cup (5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2-5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Tea</w:t>
            </w:r>
            <w:r>
              <w:rPr>
                <w:vertAlign w:val="superscript"/>
              </w:rPr>
              <w:t>1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Small cup (5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40-80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Coca Cola</w:t>
            </w:r>
            <w:r>
              <w:rPr>
                <w:vertAlign w:val="superscript"/>
              </w:rPr>
              <w:t>2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Can (12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 xml:space="preserve">64 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Mountain Dew</w:t>
            </w:r>
            <w:r>
              <w:rPr>
                <w:vertAlign w:val="superscript"/>
              </w:rPr>
              <w:t>2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Can (12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55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Starbucks Pike Place</w:t>
            </w:r>
            <w:r>
              <w:rPr>
                <w:vertAlign w:val="superscript"/>
              </w:rPr>
              <w:t>3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Grande (16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330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Starbucks Coffee Frappuccino</w:t>
            </w:r>
            <w:r>
              <w:rPr>
                <w:vertAlign w:val="superscript"/>
              </w:rPr>
              <w:t>3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Grande (16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95</w:t>
            </w:r>
          </w:p>
        </w:tc>
      </w:tr>
      <w:tr>
        <w:trPr>
          <w:trHeight w:hRule="atLeast" w:val="359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Starbucks Caffe Mocha</w:t>
            </w:r>
            <w:r>
              <w:rPr>
                <w:vertAlign w:val="superscript"/>
              </w:rPr>
              <w:t>2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Grande (16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175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Starbucks Iced Coffee</w:t>
            </w:r>
            <w:r>
              <w:rPr>
                <w:vertAlign w:val="superscript"/>
              </w:rPr>
              <w:t>3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Grande (16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165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Rockstar (double strength)</w:t>
            </w:r>
            <w:r>
              <w:rPr>
                <w:vertAlign w:val="superscript"/>
              </w:rPr>
              <w:t>4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Can (8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80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Red Bull</w:t>
            </w:r>
            <w:r>
              <w:rPr>
                <w:vertAlign w:val="superscript"/>
              </w:rPr>
              <w:t>4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Can (8.4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83</w:t>
            </w:r>
          </w:p>
        </w:tc>
      </w:tr>
      <w:tr>
        <w:trPr>
          <w:trHeight w:hRule="atLeast" w:val="359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Monster</w:t>
            </w:r>
            <w:r>
              <w:rPr>
                <w:vertAlign w:val="superscript"/>
              </w:rPr>
              <w:t>4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Can (8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92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5-Hour Energy</w:t>
            </w:r>
            <w:r>
              <w:rPr>
                <w:vertAlign w:val="superscript"/>
              </w:rPr>
              <w:t>4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Can (1.9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215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vertAlign w:val="superscript"/>
                <w:lang w:bidi="ar_SA" w:eastAsia="en_US" w:val="en_US"/>
              </w:rPr>
            </w:pPr>
            <w:r>
              <w:t>Rockstar Energy Shot</w:t>
            </w:r>
            <w:r>
              <w:rPr>
                <w:vertAlign w:val="superscript"/>
              </w:rPr>
              <w:t>4</w:t>
            </w: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Can (2.5 oz)</w:t>
            </w: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  <w:r>
              <w:t>229</w:t>
            </w: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</w:tr>
      <w:tr>
        <w:trPr>
          <w:trHeight w:hRule="atLeast" w:val="359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</w:tr>
      <w:tr>
        <w:trPr>
          <w:trHeight w:hRule="atLeast" w:val="392"/>
        </w:trPr>
        <w:tc>
          <w:tcPr>
            <w:tcW w:type="dxa" w:w="2091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19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  <w:tc>
          <w:tcPr>
            <w:tcW w:type="dxa" w:w="3127"/>
            <w:vAlign w:val="center"/>
          </w:tcPr>
          <w:p>
            <w:pPr>
              <w:jc w:val="center"/>
              <w:rPr>
                <w:color w:val="595959"/>
                <w:sz w:val="20"/>
                <w:lang w:bidi="ar_SA" w:eastAsia="en_US" w:val="en_US"/>
              </w:rPr>
            </w:pPr>
          </w:p>
        </w:tc>
      </w:tr>
    </w:tbl>
    <w:p>
      <w:pPr>
        <w:rPr>
          <w:color w:val="595959"/>
          <w:sz w:val="20"/>
          <w:lang w:bidi="ar_SA" w:eastAsia="en_US" w:val="en_US"/>
        </w:rPr>
      </w:pPr>
      <w:bookmarkStart w:id="0" w:name="_GoBack"/>
      <w:bookmarkEnd w:id="0"/>
      <w:r>
        <w:pict w14:anchorId="51920F82">
          <v:shape xmlns:mv="urn:schemas-microsoft-com:mac:vml" xmlns:w10="urn:schemas-microsoft-com:office:word" id="_x0000_s1041" type="#_x0000_t202" style="position:absolute;margin-left:108pt;margin-top:486pt;width:414pt;height:1in;z-index:251691008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14:paraId="02CFE486" w14:textId="438C14CB" w:rsidR="00931B6A" w:rsidRPr="001D4F40" w:rsidRDefault="00931B6A" w:rsidP="006C328E">
                  <w:proofErr w:type="gramStart"/>
                  <w:r>
                    <w:rPr>
                      <w:vertAlign w:val="superscript"/>
                    </w:rPr>
                    <w:t>1</w:t>
                  </w:r>
                  <w:r>
                    <w:t xml:space="preserve"> Pennington, J.A.T., </w:t>
                  </w:r>
                  <w:r>
                    <w:rPr>
                      <w:i/>
                    </w:rPr>
                    <w:t>Food Values of Portions Commonly Used (18</w:t>
                  </w:r>
                  <w:r w:rsidRPr="001D4F40">
                    <w:rPr>
                      <w:i/>
                      <w:vertAlign w:val="superscript"/>
                    </w:rPr>
                    <w:t>th</w:t>
                  </w:r>
                  <w:r>
                    <w:rPr>
                      <w:i/>
                    </w:rPr>
                    <w:t xml:space="preserve"> ed.)</w:t>
                  </w:r>
                  <w:r>
                    <w:t>, J.B. Lippincott, Philadelphia, 2005.</w:t>
                  </w:r>
                  <w:proofErr w:type="gramEnd"/>
                  <w:r w:rsidR="006C328E">
                    <w:t xml:space="preserve"> 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Soft Drink Manufacturers Association</w:t>
                  </w:r>
                  <w:r w:rsidR="006C328E">
                    <w:t xml:space="preserve"> </w:t>
                  </w:r>
                  <w:r>
                    <w:rPr>
                      <w:vertAlign w:val="superscript"/>
                    </w:rPr>
                    <w:t>3</w:t>
                  </w:r>
                  <w:r>
                    <w:t xml:space="preserve"> URL: www.starbucks.com/menu/drinks/ (Last accessed: 2-22-2016)</w:t>
                  </w:r>
                  <w:r w:rsidR="006C328E">
                    <w:t xml:space="preserve"> </w:t>
                  </w:r>
                  <w:r>
                    <w:rPr>
                      <w:vertAlign w:val="superscript"/>
                    </w:rPr>
                    <w:t>4</w:t>
                  </w:r>
                  <w:r>
                    <w:t xml:space="preserve"> Consumer Reports (December 2012). </w:t>
                  </w:r>
                  <w:proofErr w:type="gramStart"/>
                  <w:r>
                    <w:t>The buzz on energy-drink caffeine.</w:t>
                  </w:r>
                  <w:proofErr w:type="gramEnd"/>
                </w:p>
              </w:txbxContent>
            </v:textbox>
            <w10:wrap type="through"/>
          </v:shape>
        </w:pict>
      </w:r>
      <w:r>
        <w:pict w14:anchorId="0923367D">
          <v:shape xmlns:mv="urn:schemas-microsoft-com:mac:vml" xmlns:w10="urn:schemas-microsoft-com:office:word" id="_x0000_s1039" type="#_x0000_t202" style="position:absolute;margin-left:54pt;margin-top:558pt;width:521pt;height:198pt;z-index:251687936;mso-wrap-edited:f;mso-position-horizontal-relative:page;mso-position-vertical-relative:page" wrapcoords="0 0 21600 0 21600 21599 0 21599 0 0" mv:complextextbox="1" filled="f" stroked="f">
            <v:fill o:detectmouseclick="t"/>
            <v:textbox inset=",7.2pt,,7.2pt">
              <w:txbxContent>
                <w:p w14:paraId="1AD2B6B3" w14:textId="20B7BE95" w:rsidR="006C328E" w:rsidRPr="006C328E" w:rsidRDefault="006C328E" w:rsidP="006C328E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References</w:t>
                  </w:r>
                </w:p>
                <w:p w14:paraId="13158D4C" w14:textId="0A4D52F5" w:rsidR="00931B6A" w:rsidRDefault="00931B6A" w:rsidP="00F775A5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Heckman, M.A., Weil, J. and de Mejia, E.G. (2010). Caffeine (1,3,7-trimethylxanthine) in Foods: A Comprehensive Review on Consumption, Functionality, Safety and Regulatory Matters. </w:t>
                  </w:r>
                  <w:r>
                    <w:rPr>
                      <w:i/>
                    </w:rPr>
                    <w:t>Journal of Food Science</w:t>
                  </w:r>
                  <w:r>
                    <w:t xml:space="preserve">, </w:t>
                  </w:r>
                  <w:r>
                    <w:rPr>
                      <w:b/>
                    </w:rPr>
                    <w:t>75(3)</w:t>
                  </w:r>
                  <w:r>
                    <w:t>, R77-R87.</w:t>
                  </w:r>
                </w:p>
                <w:p w14:paraId="7330A820" w14:textId="7CF96DA4" w:rsidR="00931B6A" w:rsidRDefault="00931B6A" w:rsidP="00F775A5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European Food Safety Authority Panel on Dietetic Products, Nutrition and Allergies (2015). Scientific Opinion on the Safety of Caffeine (Draft). </w:t>
                  </w:r>
                  <w:r>
                    <w:rPr>
                      <w:i/>
                    </w:rPr>
                    <w:t>EFSA Journal</w:t>
                  </w:r>
                  <w:r>
                    <w:t>, (in print).</w:t>
                  </w:r>
                </w:p>
                <w:p w14:paraId="404ED993" w14:textId="2F1081B3" w:rsidR="00931B6A" w:rsidRDefault="00931B6A" w:rsidP="00F775A5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Higgins, J.P., Tuttle, T.D. and Higgins, C.L. (2010). Energy Beverages: Content and Safety. </w:t>
                  </w:r>
                  <w:r>
                    <w:rPr>
                      <w:i/>
                    </w:rPr>
                    <w:t>Mayo Clinic Proceedings</w:t>
                  </w:r>
                  <w:r>
                    <w:t xml:space="preserve">, </w:t>
                  </w:r>
                  <w:r>
                    <w:rPr>
                      <w:b/>
                    </w:rPr>
                    <w:t>85(11)</w:t>
                  </w:r>
                  <w:r>
                    <w:t>, 1033-1141.</w:t>
                  </w:r>
                </w:p>
                <w:p w14:paraId="46DF3B79" w14:textId="7ACBF112" w:rsidR="00931B6A" w:rsidRDefault="00931B6A" w:rsidP="00F775A5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Food and Drug Administration (2007). Medicines in my Home: Caffeine and Your Body. URL: </w:t>
                  </w:r>
                  <w:r w:rsidRPr="004A644E">
                    <w:t>http://www.fda.gov/</w:t>
                  </w:r>
                  <w:r>
                    <w:t xml:space="preserve"> </w:t>
                  </w:r>
                  <w:r w:rsidRPr="004A644E">
                    <w:t>downloads/UCM200805.pdf</w:t>
                  </w:r>
                  <w:r>
                    <w:t xml:space="preserve"> (Last accessed: 2-22-2016).</w:t>
                  </w:r>
                </w:p>
                <w:p w14:paraId="3F0C38D6" w14:textId="43AAF46F" w:rsidR="00931B6A" w:rsidRDefault="00931B6A" w:rsidP="00F775A5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Mayo Clinic Staff. Caffeine: How much is too much? URL: </w:t>
                  </w:r>
                  <w:r w:rsidRPr="007315D3">
                    <w:t>http://www.mayoclinic.org/healthy-lifestyle/nutrition-and-healthy-eating/in-depth/caffeine/art-20045678</w:t>
                  </w:r>
                  <w:proofErr w:type="gramStart"/>
                  <w:r w:rsidRPr="007315D3">
                    <w:t>?pg</w:t>
                  </w:r>
                  <w:proofErr w:type="gramEnd"/>
                  <w:r w:rsidRPr="007315D3">
                    <w:t>=1</w:t>
                  </w:r>
                  <w:r>
                    <w:t xml:space="preserve"> (Last accessed 2-22-2016).</w:t>
                  </w:r>
                </w:p>
                <w:p w14:paraId="10701706" w14:textId="7CEC3F83" w:rsidR="00931B6A" w:rsidRDefault="00931B6A" w:rsidP="00F775A5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Chatham, Chris (2008). Caffeine: A User’s Guide to Getting Optimally Wired. URL: </w:t>
                  </w:r>
                  <w:r w:rsidRPr="007315D3">
                    <w:t>http://scienceblogs.com/</w:t>
                  </w:r>
                  <w:r>
                    <w:t xml:space="preserve"> </w:t>
                  </w:r>
                  <w:proofErr w:type="spellStart"/>
                  <w:r w:rsidRPr="007315D3">
                    <w:t>developingintelligence</w:t>
                  </w:r>
                  <w:proofErr w:type="spellEnd"/>
                  <w:r w:rsidRPr="007315D3">
                    <w:t>/2008/02/11/optimally-wired-a-caffeine-use/</w:t>
                  </w:r>
                  <w:r>
                    <w:t xml:space="preserve"> (Last accessed 2-22-2016).</w:t>
                  </w:r>
                </w:p>
              </w:txbxContent>
            </v:textbox>
            <w10:wrap type="through"/>
          </v:shape>
        </w:pict>
      </w:r>
    </w:p>
    <w:sectPr>
      <w:pgSz w:h="15840" w:w="12240"/>
      <w:pgMar w:bottom="720" w:footer="0" w:gutter="0" w:header="0" w:left="720" w:right="720" w:top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abstractNum w:abstractNumId="0">
    <w:multiLevelType w:val="hybridMultilevel"/>
    <w:tmpl w:val="011623D8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1">
    <w:multiLevelType w:val="hybridMultilevel"/>
    <w:tmpl w:val="2B967536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zoom w:percent="100"/>
  <w:embedSystemFonts w:val="1"/>
  <w:proofState w:spelling="clean" w:grammar="clean"/>
  <w:attachedTemplate r:id="rId1"/>
  <w:revisionView w:markup="0"/>
  <w:doNotTrackMoves w:val="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 w:val="1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docVars>
    <w:docVar w:name="OpenInPublishingView" w:val="0"/>
    <w:docVar w:name="PublishingViewTables" w:val="0"/>
    <w:docVar w:name="ShowStaticGuides" w:val="1"/>
  </w:docVars>
  <w:rsids>
    <w:rsidRoot w:val="00A06F43"/>
    <w:rsid w:val="001D4F40"/>
    <w:rsid w:val="003B5555"/>
    <w:rsid w:val="004A644E"/>
    <w:rsid w:val="004D5050"/>
    <w:rsid w:val="0068144E"/>
    <w:rsid w:val="006C328E"/>
    <w:rsid w:val="007315D3"/>
    <w:rsid w:val="00931B6A"/>
    <w:rsid w:val="00936279"/>
    <w:rsid w:val="00A06F43"/>
    <w:rsid w:val="00B839B4"/>
    <w:rsid w:val="00E4728D"/>
    <w:rsid w:val="00F06FE0"/>
    <w:rsid w:val="00F775A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 w:val="1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1EB8"/>
    <w:rPr>
      <w:color w:val="595959" w:themeColor="text1" w:themeTint="A6"/>
      <w:sz w:val="20"/>
    </w:rPr>
  </w:style>
  <w:style w:type="paragraph" w:styleId="Heading1">
    <w:name w:val="heading 1"/>
    <w:basedOn w:val="Normal"/>
    <w:link w:val="Heading1Char"/>
    <w:uiPriority w:val="9"/>
    <w:qFormat/>
    <w:rsid w:val="003C6A11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Cs/>
      <w:color w:val="873624" w:themeColor="accent1"/>
      <w:sz w:val="28"/>
      <w:szCs w:val="32"/>
    </w:rPr>
  </w:style>
  <w:style w:type="paragraph" w:styleId="Heading2">
    <w:name w:val="heading 2"/>
    <w:basedOn w:val="Normal"/>
    <w:link w:val="Heading2Char"/>
    <w:rsid w:val="007A61FD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873624" w:themeColor="accent1"/>
      <w:sz w:val="18"/>
      <w:szCs w:val="26"/>
    </w:rPr>
  </w:style>
  <w:style w:type="paragraph" w:styleId="Heading3">
    <w:name w:val="heading 3"/>
    <w:basedOn w:val="Normal"/>
    <w:next w:val="Normal"/>
    <w:link w:val="Heading3Char"/>
    <w:rsid w:val="00DB4738"/>
    <w:pPr>
      <w:keepNext/>
      <w:keepLines/>
      <w:spacing w:after="0"/>
      <w:outlineLvl w:val="2"/>
    </w:pPr>
    <w:rPr>
      <w:rFonts w:asciiTheme="majorHAnsi" w:eastAsiaTheme="majorEastAsia" w:hAnsiTheme="majorHAnsi" w:cstheme="majorBidi"/>
      <w:bCs/>
      <w:caps/>
      <w:color w:val="873624" w:themeColor="accent1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A11"/>
    <w:rPr>
      <w:rFonts w:asciiTheme="majorHAnsi" w:eastAsiaTheme="majorEastAsia" w:hAnsiTheme="majorHAnsi" w:cstheme="majorBidi"/>
      <w:bCs/>
      <w:color w:val="873624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A61FD"/>
    <w:rPr>
      <w:rFonts w:asciiTheme="majorHAnsi" w:eastAsiaTheme="majorEastAsia" w:hAnsiTheme="majorHAnsi" w:cstheme="majorBidi"/>
      <w:b/>
      <w:bCs/>
      <w:color w:val="873624" w:themeColor="accent1"/>
      <w:sz w:val="18"/>
      <w:szCs w:val="26"/>
    </w:rPr>
  </w:style>
  <w:style w:type="paragraph" w:styleId="Title">
    <w:name w:val="Title"/>
    <w:basedOn w:val="Normal"/>
    <w:next w:val="Normal"/>
    <w:link w:val="TitleChar"/>
    <w:rsid w:val="00B778DC"/>
    <w:pPr>
      <w:spacing w:after="0" w:line="1040" w:lineRule="exact"/>
    </w:pPr>
    <w:rPr>
      <w:rFonts w:asciiTheme="majorHAnsi" w:eastAsiaTheme="majorEastAsia" w:hAnsiTheme="majorHAnsi" w:cstheme="majorBidi"/>
      <w:color w:val="873624" w:themeColor="accent1"/>
      <w:sz w:val="96"/>
      <w:szCs w:val="52"/>
    </w:rPr>
  </w:style>
  <w:style w:type="character" w:customStyle="1" w:styleId="TitleChar">
    <w:name w:val="Title Char"/>
    <w:basedOn w:val="DefaultParagraphFont"/>
    <w:link w:val="Title"/>
    <w:rsid w:val="00B778DC"/>
    <w:rPr>
      <w:rFonts w:asciiTheme="majorHAnsi" w:eastAsiaTheme="majorEastAsia" w:hAnsiTheme="majorHAnsi" w:cstheme="majorBidi"/>
      <w:color w:val="873624" w:themeColor="accent1"/>
      <w:sz w:val="96"/>
      <w:szCs w:val="52"/>
    </w:rPr>
  </w:style>
  <w:style w:type="paragraph" w:styleId="Subtitle">
    <w:name w:val="Subtitle"/>
    <w:basedOn w:val="Normal"/>
    <w:next w:val="Normal"/>
    <w:link w:val="SubtitleChar"/>
    <w:rsid w:val="007A61FD"/>
    <w:pPr>
      <w:numPr>
        <w:ilvl w:val="1"/>
      </w:numPr>
      <w:spacing w:after="0" w:line="600" w:lineRule="exact"/>
    </w:pPr>
    <w:rPr>
      <w:rFonts w:asciiTheme="majorHAnsi" w:eastAsiaTheme="majorEastAsia" w:hAnsiTheme="majorHAnsi" w:cstheme="majorBidi"/>
      <w:iCs/>
      <w:color w:val="873624" w:themeColor="accent1"/>
      <w:sz w:val="54"/>
    </w:rPr>
  </w:style>
  <w:style w:type="character" w:customStyle="1" w:styleId="SubtitleChar">
    <w:name w:val="Subtitle Char"/>
    <w:basedOn w:val="DefaultParagraphFont"/>
    <w:link w:val="Subtitle"/>
    <w:rsid w:val="007A61FD"/>
    <w:rPr>
      <w:rFonts w:asciiTheme="majorHAnsi" w:eastAsiaTheme="majorEastAsia" w:hAnsiTheme="majorHAnsi" w:cstheme="majorBidi"/>
      <w:iCs/>
      <w:color w:val="873624" w:themeColor="accent1"/>
      <w:sz w:val="54"/>
    </w:rPr>
  </w:style>
  <w:style w:type="character" w:customStyle="1" w:styleId="Heading3Char">
    <w:name w:val="Heading 3 Char"/>
    <w:basedOn w:val="DefaultParagraphFont"/>
    <w:link w:val="Heading3"/>
    <w:rsid w:val="00DB4738"/>
    <w:rPr>
      <w:rFonts w:asciiTheme="majorHAnsi" w:eastAsiaTheme="majorEastAsia" w:hAnsiTheme="majorHAnsi" w:cstheme="majorBidi"/>
      <w:bCs/>
      <w:caps/>
      <w:color w:val="873624" w:themeColor="accent1"/>
      <w:sz w:val="16"/>
    </w:rPr>
  </w:style>
  <w:style w:type="paragraph" w:styleId="BlockText">
    <w:name w:val="Block Text"/>
    <w:basedOn w:val="Normal"/>
    <w:rsid w:val="00971C41"/>
    <w:pPr>
      <w:spacing w:after="0"/>
    </w:pPr>
    <w:rPr>
      <w:rFonts w:eastAsiaTheme="minorEastAsia"/>
      <w:b/>
      <w:iCs/>
      <w:color w:val="7F7F7F" w:themeColor="text1" w:themeTint="80"/>
      <w:sz w:val="18"/>
    </w:rPr>
  </w:style>
  <w:style w:type="paragraph" w:customStyle="1" w:styleId="Contact">
    <w:name w:val="Contact"/>
    <w:basedOn w:val="Normal"/>
    <w:qFormat/>
    <w:rsid w:val="00DB4738"/>
    <w:pPr>
      <w:spacing w:after="0"/>
    </w:pPr>
    <w:rPr>
      <w:sz w:val="16"/>
    </w:rPr>
  </w:style>
  <w:style w:type="paragraph" w:styleId="ListParagraph">
    <w:name w:val="List Paragraph"/>
    <w:basedOn w:val="Normal"/>
    <w:rsid w:val="00D422D9"/>
    <w:pPr>
      <w:ind w:left="720"/>
      <w:contextualSpacing/>
    </w:pPr>
  </w:style>
  <w:style w:type="table" w:styleId="TableGrid">
    <w:name w:val="Table Grid"/>
    <w:basedOn w:val="TableNormal"/>
    <w:rsid w:val="00B839B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1EB8"/>
    <w:rPr>
      <w:color w:val="595959" w:themeColor="text1" w:themeTint="A6"/>
      <w:sz w:val="20"/>
    </w:rPr>
  </w:style>
  <w:style w:type="paragraph" w:styleId="Heading1">
    <w:name w:val="heading 1"/>
    <w:basedOn w:val="Normal"/>
    <w:link w:val="Heading1Char"/>
    <w:uiPriority w:val="9"/>
    <w:qFormat/>
    <w:rsid w:val="003C6A11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Cs/>
      <w:color w:val="873624" w:themeColor="accent1"/>
      <w:sz w:val="28"/>
      <w:szCs w:val="32"/>
    </w:rPr>
  </w:style>
  <w:style w:type="paragraph" w:styleId="Heading2">
    <w:name w:val="heading 2"/>
    <w:basedOn w:val="Normal"/>
    <w:link w:val="Heading2Char"/>
    <w:rsid w:val="007A61FD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873624" w:themeColor="accent1"/>
      <w:sz w:val="18"/>
      <w:szCs w:val="26"/>
    </w:rPr>
  </w:style>
  <w:style w:type="paragraph" w:styleId="Heading3">
    <w:name w:val="heading 3"/>
    <w:basedOn w:val="Normal"/>
    <w:next w:val="Normal"/>
    <w:link w:val="Heading3Char"/>
    <w:rsid w:val="00DB4738"/>
    <w:pPr>
      <w:keepNext/>
      <w:keepLines/>
      <w:spacing w:after="0"/>
      <w:outlineLvl w:val="2"/>
    </w:pPr>
    <w:rPr>
      <w:rFonts w:asciiTheme="majorHAnsi" w:eastAsiaTheme="majorEastAsia" w:hAnsiTheme="majorHAnsi" w:cstheme="majorBidi"/>
      <w:bCs/>
      <w:caps/>
      <w:color w:val="873624" w:themeColor="accent1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A11"/>
    <w:rPr>
      <w:rFonts w:asciiTheme="majorHAnsi" w:eastAsiaTheme="majorEastAsia" w:hAnsiTheme="majorHAnsi" w:cstheme="majorBidi"/>
      <w:bCs/>
      <w:color w:val="873624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A61FD"/>
    <w:rPr>
      <w:rFonts w:asciiTheme="majorHAnsi" w:eastAsiaTheme="majorEastAsia" w:hAnsiTheme="majorHAnsi" w:cstheme="majorBidi"/>
      <w:b/>
      <w:bCs/>
      <w:color w:val="873624" w:themeColor="accent1"/>
      <w:sz w:val="18"/>
      <w:szCs w:val="26"/>
    </w:rPr>
  </w:style>
  <w:style w:type="paragraph" w:styleId="Title">
    <w:name w:val="Title"/>
    <w:basedOn w:val="Normal"/>
    <w:next w:val="Normal"/>
    <w:link w:val="TitleChar"/>
    <w:rsid w:val="00B778DC"/>
    <w:pPr>
      <w:spacing w:after="0" w:line="1040" w:lineRule="exact"/>
    </w:pPr>
    <w:rPr>
      <w:rFonts w:asciiTheme="majorHAnsi" w:eastAsiaTheme="majorEastAsia" w:hAnsiTheme="majorHAnsi" w:cstheme="majorBidi"/>
      <w:color w:val="873624" w:themeColor="accent1"/>
      <w:sz w:val="96"/>
      <w:szCs w:val="52"/>
    </w:rPr>
  </w:style>
  <w:style w:type="character" w:customStyle="1" w:styleId="TitleChar">
    <w:name w:val="Title Char"/>
    <w:basedOn w:val="DefaultParagraphFont"/>
    <w:link w:val="Title"/>
    <w:rsid w:val="00B778DC"/>
    <w:rPr>
      <w:rFonts w:asciiTheme="majorHAnsi" w:eastAsiaTheme="majorEastAsia" w:hAnsiTheme="majorHAnsi" w:cstheme="majorBidi"/>
      <w:color w:val="873624" w:themeColor="accent1"/>
      <w:sz w:val="96"/>
      <w:szCs w:val="52"/>
    </w:rPr>
  </w:style>
  <w:style w:type="paragraph" w:styleId="Subtitle">
    <w:name w:val="Subtitle"/>
    <w:basedOn w:val="Normal"/>
    <w:next w:val="Normal"/>
    <w:link w:val="SubtitleChar"/>
    <w:rsid w:val="007A61FD"/>
    <w:pPr>
      <w:numPr>
        <w:ilvl w:val="1"/>
      </w:numPr>
      <w:spacing w:after="0" w:line="600" w:lineRule="exact"/>
    </w:pPr>
    <w:rPr>
      <w:rFonts w:asciiTheme="majorHAnsi" w:eastAsiaTheme="majorEastAsia" w:hAnsiTheme="majorHAnsi" w:cstheme="majorBidi"/>
      <w:iCs/>
      <w:color w:val="873624" w:themeColor="accent1"/>
      <w:sz w:val="54"/>
    </w:rPr>
  </w:style>
  <w:style w:type="character" w:customStyle="1" w:styleId="SubtitleChar">
    <w:name w:val="Subtitle Char"/>
    <w:basedOn w:val="DefaultParagraphFont"/>
    <w:link w:val="Subtitle"/>
    <w:rsid w:val="007A61FD"/>
    <w:rPr>
      <w:rFonts w:asciiTheme="majorHAnsi" w:eastAsiaTheme="majorEastAsia" w:hAnsiTheme="majorHAnsi" w:cstheme="majorBidi"/>
      <w:iCs/>
      <w:color w:val="873624" w:themeColor="accent1"/>
      <w:sz w:val="54"/>
    </w:rPr>
  </w:style>
  <w:style w:type="character" w:customStyle="1" w:styleId="Heading3Char">
    <w:name w:val="Heading 3 Char"/>
    <w:basedOn w:val="DefaultParagraphFont"/>
    <w:link w:val="Heading3"/>
    <w:rsid w:val="00DB4738"/>
    <w:rPr>
      <w:rFonts w:asciiTheme="majorHAnsi" w:eastAsiaTheme="majorEastAsia" w:hAnsiTheme="majorHAnsi" w:cstheme="majorBidi"/>
      <w:bCs/>
      <w:caps/>
      <w:color w:val="873624" w:themeColor="accent1"/>
      <w:sz w:val="16"/>
    </w:rPr>
  </w:style>
  <w:style w:type="paragraph" w:styleId="BlockText">
    <w:name w:val="Block Text"/>
    <w:basedOn w:val="Normal"/>
    <w:rsid w:val="00971C41"/>
    <w:pPr>
      <w:spacing w:after="0"/>
    </w:pPr>
    <w:rPr>
      <w:rFonts w:eastAsiaTheme="minorEastAsia"/>
      <w:b/>
      <w:iCs/>
      <w:color w:val="7F7F7F" w:themeColor="text1" w:themeTint="80"/>
      <w:sz w:val="18"/>
    </w:rPr>
  </w:style>
  <w:style w:type="paragraph" w:customStyle="1" w:styleId="Contact">
    <w:name w:val="Contact"/>
    <w:basedOn w:val="Normal"/>
    <w:qFormat/>
    <w:rsid w:val="00DB4738"/>
    <w:pPr>
      <w:spacing w:after="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standalone="yes" ?><Relationships xmlns="http://schemas.openxmlformats.org/package/2006/relationships"><Relationship Id="rId1" Target="media/image1.jpeg" Type="http://schemas.openxmlformats.org/officeDocument/2006/relationships/image"></Relationship><Relationship Id="rId2" Target="settings.xml" Type="http://schemas.openxmlformats.org/officeDocument/2006/relationships/settings"></Relationship><Relationship Id="rId3" Target="numbering.xml" Type="http://schemas.openxmlformats.org/officeDocument/2006/relationships/numbering"></Relationship><Relationship Id="rId4" Target="fontTable.xml" Type="http://schemas.openxmlformats.org/officeDocument/2006/relationships/fontTable"></Relationship><Relationship Id="rId5" Target="webSettings.xml" Type="http://schemas.openxmlformats.org/officeDocument/2006/relationships/webSettings"></Relationship><Relationship Id="rId6" Target="styles.xml" Type="http://schemas.openxmlformats.org/officeDocument/2006/relationships/styles"></Relationship><Relationship Id="rId7" Target="theme/theme1.xml" Type="http://schemas.openxmlformats.org/officeDocument/2006/relationships/theme"></Relationship></Relationships>
</file>

<file path=word/_rels/settings.xml.rels><?xml version="1.0" standalone="yes" ?><Relationships xmlns="http://schemas.openxmlformats.org/package/2006/relationships"><Relationship Id="rId1" Target="Macintosh:Applications:Microsoft%20Office%202011:Office:Media:Templates:Publishing%20Layout%20View:Miscellaneous:Data%20Sheet%20Brochure.dotx" TargetMode="External" Type="http://schemas.openxmlformats.org/officeDocument/2006/relationships/attachedTemplate"></Relationship></Relationships>
</file>

<file path=word/theme/theme1.xml><?xml version="1.0" encoding="utf-8"?>
<a:theme xmlns:a="http://schemas.openxmlformats.org/drawingml/2006/main" name="Data Sheet Brochure">
  <a:themeElements>
    <a:clrScheme name="Hardcover">
      <a:dk1>
        <a:sysClr val="windowText" lastClr="000000"/>
      </a:dk1>
      <a:lt1>
        <a:sysClr val="window" lastClr="FFFFFF"/>
      </a:lt1>
      <a:dk2>
        <a:srgbClr val="895D1D"/>
      </a:dk2>
      <a:lt2>
        <a:srgbClr val="ECE9C6"/>
      </a:lt2>
      <a:accent1>
        <a:srgbClr val="873624"/>
      </a:accent1>
      <a:accent2>
        <a:srgbClr val="D6862D"/>
      </a:accent2>
      <a:accent3>
        <a:srgbClr val="D0BE40"/>
      </a:accent3>
      <a:accent4>
        <a:srgbClr val="877F6C"/>
      </a:accent4>
      <a:accent5>
        <a:srgbClr val="972109"/>
      </a:accent5>
      <a:accent6>
        <a:srgbClr val="AEB795"/>
      </a:accent6>
      <a:hlink>
        <a:srgbClr val="CC9900"/>
      </a:hlink>
      <a:folHlink>
        <a:srgbClr val="B2B2B2"/>
      </a:folHlink>
    </a:clrScheme>
    <a:fontScheme name="Adjacency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ata Sheet Brochur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Data Sheet Brochure.dotx</Template>
  <Manager/>
  <Company/>
  <Pages>2</Pages>
  <Words>85</Words>
  <Characters>445</Characters>
  <Lines>4</Lines>
  <Paragraphs>1</Paragraphs>
  <TotalTime>157</TotalTime>
  <ScaleCrop>0</ScaleCrop>
  <LinksUpToDate>0</LinksUpToDate>
  <CharactersWithSpaces>499</CharactersWithSpaces>
  <SharedDoc>0</SharedDoc>
  <HyperlinkBase/>
  <HyperlinksChanged>0</HyperlinksChanged>
  <Application>Microsoft Macintosh Word</Application>
  <AppVersion>14.0000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Sommerfeld</dc:creator>
  <cp:keywords/>
  <dc:description/>
  <cp:lastModifiedBy>David Sommerfeld</cp:lastModifiedBy>
  <cp:revision>15</cp:revision>
  <cp:lastPrinted>2016-02-22T18:55:00Z</cp:lastPrinted>
  <dcterms:created xsi:type="dcterms:W3CDTF">2016-01-25T21:57:00Z</dcterms:created>
  <dcterms:modified xsi:type="dcterms:W3CDTF">2016-02-22T19:06:00Z</dcterms:modified>
  <cp:category/>
</cp:coreProperties>
</file>